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3D5950" w14:textId="77777777" w:rsidR="00E67A45" w:rsidRPr="000C05AB" w:rsidRDefault="000C05AB" w:rsidP="000C05AB">
      <w:pPr>
        <w:snapToGrid w:val="0"/>
        <w:spacing w:after="240" w:line="360" w:lineRule="auto"/>
        <w:jc w:val="center"/>
        <w:rPr>
          <w:rFonts w:ascii="Arial" w:hAnsi="Arial" w:cs="Arial"/>
          <w:b/>
          <w:bCs/>
          <w:lang w:val="es-ES_tradnl"/>
        </w:rPr>
      </w:pPr>
      <w:bookmarkStart w:id="0" w:name="_GoBack"/>
      <w:bookmarkEnd w:id="0"/>
      <w:r w:rsidRPr="000C05AB">
        <w:rPr>
          <w:rFonts w:ascii="Arial" w:hAnsi="Arial" w:cs="Arial"/>
          <w:b/>
          <w:bCs/>
          <w:lang w:val="es-ES_tradnl"/>
        </w:rPr>
        <w:t>AAEF</w:t>
      </w:r>
    </w:p>
    <w:p w14:paraId="60981E30" w14:textId="77777777" w:rsidR="004040E1" w:rsidRDefault="000C05AB" w:rsidP="000C05AB">
      <w:pPr>
        <w:snapToGrid w:val="0"/>
        <w:spacing w:after="240" w:line="360" w:lineRule="auto"/>
        <w:jc w:val="center"/>
        <w:rPr>
          <w:rFonts w:ascii="Arial" w:hAnsi="Arial" w:cs="Arial"/>
          <w:b/>
          <w:bCs/>
          <w:lang w:val="es-ES_tradnl"/>
        </w:rPr>
      </w:pPr>
      <w:r w:rsidRPr="000C05AB">
        <w:rPr>
          <w:rFonts w:ascii="Arial" w:hAnsi="Arial" w:cs="Arial"/>
          <w:b/>
          <w:bCs/>
          <w:lang w:val="es-ES_tradnl"/>
        </w:rPr>
        <w:t>COMISIÓN DE TRIBUTOS LOCALES</w:t>
      </w:r>
    </w:p>
    <w:p w14:paraId="46CB0642" w14:textId="77777777" w:rsidR="000C05AB" w:rsidRPr="000C05AB" w:rsidRDefault="000C05AB" w:rsidP="000C05AB">
      <w:pPr>
        <w:snapToGrid w:val="0"/>
        <w:spacing w:after="240" w:line="360" w:lineRule="auto"/>
        <w:jc w:val="center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  <w:bCs/>
          <w:lang w:val="es-ES_tradnl"/>
        </w:rPr>
        <w:t>TEMARIO</w:t>
      </w:r>
    </w:p>
    <w:p w14:paraId="75BBDE40" w14:textId="77777777" w:rsidR="004040E1" w:rsidRPr="000C05AB" w:rsidRDefault="000C05AB" w:rsidP="000C05AB">
      <w:pPr>
        <w:snapToGrid w:val="0"/>
        <w:spacing w:after="240" w:line="360" w:lineRule="auto"/>
        <w:jc w:val="center"/>
        <w:rPr>
          <w:rFonts w:ascii="Arial" w:hAnsi="Arial" w:cs="Arial"/>
          <w:b/>
          <w:bCs/>
          <w:lang w:val="es-ES_tradnl"/>
        </w:rPr>
      </w:pPr>
      <w:r w:rsidRPr="000C05AB">
        <w:rPr>
          <w:rFonts w:ascii="Arial" w:hAnsi="Arial" w:cs="Arial"/>
          <w:b/>
          <w:bCs/>
          <w:lang w:val="es-ES_tradnl"/>
        </w:rPr>
        <w:t xml:space="preserve">REUNIÓN </w:t>
      </w:r>
      <w:r w:rsidR="00341ED4">
        <w:rPr>
          <w:rFonts w:ascii="Arial" w:hAnsi="Arial" w:cs="Arial"/>
          <w:b/>
          <w:bCs/>
          <w:lang w:val="es-ES_tradnl"/>
        </w:rPr>
        <w:t>–</w:t>
      </w:r>
      <w:r w:rsidRPr="000C05AB">
        <w:rPr>
          <w:rFonts w:ascii="Arial" w:hAnsi="Arial" w:cs="Arial"/>
          <w:b/>
          <w:bCs/>
          <w:lang w:val="es-ES_tradnl"/>
        </w:rPr>
        <w:t xml:space="preserve"> </w:t>
      </w:r>
      <w:r w:rsidR="00341ED4">
        <w:rPr>
          <w:rFonts w:ascii="Arial" w:hAnsi="Arial" w:cs="Arial"/>
          <w:b/>
          <w:bCs/>
          <w:lang w:val="es-ES_tradnl"/>
        </w:rPr>
        <w:t>SEPTIEMBRE</w:t>
      </w:r>
      <w:r w:rsidRPr="000C05AB">
        <w:rPr>
          <w:rFonts w:ascii="Arial" w:hAnsi="Arial" w:cs="Arial"/>
          <w:b/>
          <w:bCs/>
          <w:lang w:val="es-ES_tradnl"/>
        </w:rPr>
        <w:t>/2023</w:t>
      </w:r>
    </w:p>
    <w:p w14:paraId="434A3A01" w14:textId="77777777" w:rsidR="000C05AB" w:rsidRDefault="000C05AB" w:rsidP="000C05AB">
      <w:pPr>
        <w:snapToGrid w:val="0"/>
        <w:spacing w:after="240" w:line="360" w:lineRule="auto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11A022D7" w14:textId="3C7F07F2" w:rsidR="0063228A" w:rsidRPr="00B423BE" w:rsidRDefault="0063228A" w:rsidP="000C05AB">
      <w:pPr>
        <w:snapToGrid w:val="0"/>
        <w:spacing w:after="240" w:line="360" w:lineRule="auto"/>
        <w:jc w:val="both"/>
        <w:rPr>
          <w:rFonts w:ascii="Arial" w:hAnsi="Arial" w:cs="Arial"/>
          <w:b/>
          <w:lang w:val="es-ES_tradnl"/>
        </w:rPr>
      </w:pPr>
      <w:r w:rsidRPr="00B423BE">
        <w:rPr>
          <w:rFonts w:ascii="Arial" w:hAnsi="Arial" w:cs="Arial"/>
          <w:b/>
          <w:lang w:val="es-ES_tradnl"/>
        </w:rPr>
        <w:t>SORTEOS</w:t>
      </w:r>
      <w:r w:rsidR="0071363D" w:rsidRPr="00B423BE">
        <w:rPr>
          <w:rFonts w:ascii="Arial" w:hAnsi="Arial" w:cs="Arial"/>
          <w:b/>
          <w:lang w:val="es-ES_tradnl"/>
        </w:rPr>
        <w:t xml:space="preserve"> ENTRE LOS ASISTENTES</w:t>
      </w:r>
      <w:r w:rsidRPr="00B423BE">
        <w:rPr>
          <w:rFonts w:ascii="Arial" w:hAnsi="Arial" w:cs="Arial"/>
          <w:b/>
          <w:lang w:val="es-ES_tradnl"/>
        </w:rPr>
        <w:t>:</w:t>
      </w:r>
    </w:p>
    <w:p w14:paraId="476549DA" w14:textId="3E9FB2E4" w:rsidR="0063228A" w:rsidRPr="004C2839" w:rsidRDefault="0063228A" w:rsidP="004C2839">
      <w:pPr>
        <w:pStyle w:val="Prrafodelista"/>
        <w:numPr>
          <w:ilvl w:val="0"/>
          <w:numId w:val="2"/>
        </w:numPr>
        <w:snapToGrid w:val="0"/>
        <w:spacing w:after="240" w:line="360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sz w:val="20"/>
          <w:szCs w:val="20"/>
          <w:lang w:val="es-ES_tradnl"/>
        </w:rPr>
        <w:t xml:space="preserve">LIBRO “CONVENIO MULTILATERAL. Análisis Integral De Aspectos Teóricos, Jurídicos y Prácticos”. Directores: Ricardo </w:t>
      </w:r>
      <w:proofErr w:type="spellStart"/>
      <w:r w:rsidRPr="004C2839">
        <w:rPr>
          <w:rFonts w:ascii="Arial" w:hAnsi="Arial" w:cs="Arial"/>
          <w:b/>
          <w:sz w:val="20"/>
          <w:szCs w:val="20"/>
          <w:lang w:val="es-ES_tradnl"/>
        </w:rPr>
        <w:t>Chicolino</w:t>
      </w:r>
      <w:proofErr w:type="spellEnd"/>
      <w:r w:rsidRPr="004C2839">
        <w:rPr>
          <w:rFonts w:ascii="Arial" w:hAnsi="Arial" w:cs="Arial"/>
          <w:b/>
          <w:sz w:val="20"/>
          <w:szCs w:val="20"/>
          <w:lang w:val="es-ES_tradnl"/>
        </w:rPr>
        <w:t xml:space="preserve">, Sebastián F. </w:t>
      </w:r>
      <w:proofErr w:type="spellStart"/>
      <w:r w:rsidRPr="004C2839">
        <w:rPr>
          <w:rFonts w:ascii="Arial" w:hAnsi="Arial" w:cs="Arial"/>
          <w:b/>
          <w:sz w:val="20"/>
          <w:szCs w:val="20"/>
          <w:lang w:val="es-ES_tradnl"/>
        </w:rPr>
        <w:t>Perlati</w:t>
      </w:r>
      <w:proofErr w:type="spellEnd"/>
      <w:r w:rsidRPr="004C2839">
        <w:rPr>
          <w:rFonts w:ascii="Arial" w:hAnsi="Arial" w:cs="Arial"/>
          <w:b/>
          <w:sz w:val="20"/>
          <w:szCs w:val="20"/>
          <w:lang w:val="es-ES_tradnl"/>
        </w:rPr>
        <w:t xml:space="preserve"> Y Luciano Vernetti. </w:t>
      </w:r>
      <w:proofErr w:type="spellStart"/>
      <w:r w:rsidRPr="004C2839">
        <w:rPr>
          <w:rFonts w:ascii="Arial" w:hAnsi="Arial" w:cs="Arial"/>
          <w:b/>
          <w:sz w:val="20"/>
          <w:szCs w:val="20"/>
          <w:lang w:val="es-ES_tradnl"/>
        </w:rPr>
        <w:t>Errepar</w:t>
      </w:r>
      <w:proofErr w:type="spellEnd"/>
      <w:r w:rsidRPr="004C2839">
        <w:rPr>
          <w:rFonts w:ascii="Arial" w:hAnsi="Arial" w:cs="Arial"/>
          <w:b/>
          <w:sz w:val="20"/>
          <w:szCs w:val="20"/>
          <w:lang w:val="es-ES_tradnl"/>
        </w:rPr>
        <w:t>. 2023.</w:t>
      </w:r>
    </w:p>
    <w:p w14:paraId="13CF0F6F" w14:textId="3609C186" w:rsidR="0063228A" w:rsidRPr="004C2839" w:rsidRDefault="0063228A" w:rsidP="004C2839">
      <w:pPr>
        <w:pStyle w:val="Prrafodelista"/>
        <w:numPr>
          <w:ilvl w:val="0"/>
          <w:numId w:val="2"/>
        </w:numPr>
        <w:snapToGrid w:val="0"/>
        <w:spacing w:after="240" w:line="360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sz w:val="20"/>
          <w:szCs w:val="20"/>
          <w:lang w:val="es-ES_tradnl"/>
        </w:rPr>
        <w:t xml:space="preserve">2 </w:t>
      </w:r>
      <w:proofErr w:type="spellStart"/>
      <w:r w:rsidRPr="004C2839">
        <w:rPr>
          <w:rFonts w:ascii="Arial" w:hAnsi="Arial" w:cs="Arial"/>
          <w:b/>
          <w:sz w:val="20"/>
          <w:szCs w:val="20"/>
          <w:lang w:val="es-ES_tradnl"/>
        </w:rPr>
        <w:t>vouchers</w:t>
      </w:r>
      <w:proofErr w:type="spellEnd"/>
      <w:r w:rsidRPr="004C2839">
        <w:rPr>
          <w:rFonts w:ascii="Arial" w:hAnsi="Arial" w:cs="Arial"/>
          <w:b/>
          <w:sz w:val="20"/>
          <w:szCs w:val="20"/>
          <w:lang w:val="es-ES_tradnl"/>
        </w:rPr>
        <w:t xml:space="preserve"> de 10% de descuento para la adquisición del libro.</w:t>
      </w:r>
    </w:p>
    <w:p w14:paraId="6B50DB11" w14:textId="77777777" w:rsidR="000C05AB" w:rsidRPr="00B423BE" w:rsidRDefault="000C05AB" w:rsidP="000C05AB">
      <w:pPr>
        <w:snapToGrid w:val="0"/>
        <w:spacing w:after="240" w:line="360" w:lineRule="auto"/>
        <w:jc w:val="both"/>
        <w:rPr>
          <w:rFonts w:ascii="Arial" w:hAnsi="Arial" w:cs="Arial"/>
          <w:b/>
          <w:bCs/>
          <w:lang w:val="es-ES_tradnl"/>
        </w:rPr>
      </w:pPr>
      <w:r w:rsidRPr="00B423BE">
        <w:rPr>
          <w:rFonts w:ascii="Arial" w:hAnsi="Arial" w:cs="Arial"/>
          <w:b/>
          <w:bCs/>
          <w:lang w:val="es-ES_tradnl"/>
        </w:rPr>
        <w:t>JURISPRUDENCIA</w:t>
      </w:r>
    </w:p>
    <w:p w14:paraId="17F10461" w14:textId="77777777" w:rsidR="000C05AB" w:rsidRPr="004C2839" w:rsidRDefault="000C05AB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Corte Suprema de Justicia de la Nación. 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“</w:t>
      </w:r>
      <w:r w:rsidR="00341ED4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Asociación de Bancos Privados de Capital Argentino (ADEBA) y otros c/ Misiones, Provincia de s/ acción declarativa de certeza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 xml:space="preserve"> (</w:t>
      </w:r>
      <w:r w:rsidR="00175D60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12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/0</w:t>
      </w:r>
      <w:r w:rsidR="00175D60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9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/2023)”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. </w:t>
      </w:r>
      <w:r w:rsidR="00341ED4" w:rsidRPr="004C2839">
        <w:rPr>
          <w:rFonts w:ascii="Arial" w:hAnsi="Arial" w:cs="Arial"/>
          <w:b/>
          <w:bCs/>
          <w:sz w:val="20"/>
          <w:szCs w:val="20"/>
          <w:lang w:val="es-ES_tradnl"/>
        </w:rPr>
        <w:t>Impuesto de sellos</w:t>
      </w:r>
      <w:r w:rsidR="004E553B" w:rsidRPr="004C2839">
        <w:rPr>
          <w:rFonts w:ascii="Arial" w:hAnsi="Arial" w:cs="Arial"/>
          <w:b/>
          <w:bCs/>
          <w:sz w:val="20"/>
          <w:szCs w:val="20"/>
          <w:lang w:val="es-ES_tradnl"/>
        </w:rPr>
        <w:t>.</w:t>
      </w:r>
    </w:p>
    <w:p w14:paraId="53B55E3F" w14:textId="1751B4E4" w:rsidR="00175D60" w:rsidRDefault="00341ED4" w:rsidP="004C2839">
      <w:pPr>
        <w:pStyle w:val="Prrafodelista"/>
        <w:snapToGrid w:val="0"/>
        <w:spacing w:after="240" w:line="360" w:lineRule="auto"/>
        <w:ind w:left="360"/>
        <w:contextualSpacing w:val="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sz w:val="20"/>
          <w:szCs w:val="20"/>
          <w:lang w:val="es-ES_tradnl"/>
        </w:rPr>
        <w:t>Se inició en instancia originaria de la CSJN una demanda declarativa de certeza a fin de hacer la incertidumbre frente a la pretensión fiscal de la P</w:t>
      </w:r>
      <w:r w:rsidR="004C2839">
        <w:rPr>
          <w:rFonts w:ascii="Arial" w:hAnsi="Arial" w:cs="Arial"/>
          <w:sz w:val="20"/>
          <w:szCs w:val="20"/>
          <w:lang w:val="es-ES_tradnl"/>
        </w:rPr>
        <w:t xml:space="preserve">rovincia </w:t>
      </w:r>
      <w:r w:rsidRPr="004C2839">
        <w:rPr>
          <w:rFonts w:ascii="Arial" w:hAnsi="Arial" w:cs="Arial"/>
          <w:sz w:val="20"/>
          <w:szCs w:val="20"/>
          <w:lang w:val="es-ES_tradnl"/>
        </w:rPr>
        <w:t>de Misiones de gravar con el impuesto de sellos los contratos de constitución de fideicomisos financieros</w:t>
      </w:r>
      <w:r w:rsidR="000C05AB" w:rsidRPr="004C2839">
        <w:rPr>
          <w:rFonts w:ascii="Arial" w:hAnsi="Arial" w:cs="Arial"/>
          <w:sz w:val="20"/>
          <w:szCs w:val="20"/>
          <w:lang w:val="es-ES_tradnl"/>
        </w:rPr>
        <w:t>.</w:t>
      </w:r>
      <w:r w:rsidR="004C2839" w:rsidRPr="004C2839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0C05AB" w:rsidRPr="004C2839">
        <w:rPr>
          <w:rFonts w:ascii="Arial" w:hAnsi="Arial" w:cs="Arial"/>
          <w:b/>
          <w:bCs/>
          <w:sz w:val="20"/>
          <w:szCs w:val="20"/>
          <w:lang w:val="es-ES_tradnl"/>
        </w:rPr>
        <w:t>La C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SJN</w:t>
      </w:r>
      <w:r w:rsidRPr="004C2839">
        <w:rPr>
          <w:rFonts w:ascii="Arial" w:hAnsi="Arial" w:cs="Arial"/>
          <w:sz w:val="20"/>
          <w:szCs w:val="20"/>
          <w:lang w:val="es-ES_tradnl"/>
        </w:rPr>
        <w:t xml:space="preserve"> hizo lugar a la demanda y declaró </w:t>
      </w:r>
      <w:r w:rsidR="00175D60" w:rsidRPr="004C2839">
        <w:rPr>
          <w:rFonts w:ascii="Arial" w:hAnsi="Arial" w:cs="Arial"/>
          <w:sz w:val="20"/>
          <w:szCs w:val="20"/>
          <w:lang w:val="es-ES_tradnl"/>
        </w:rPr>
        <w:t xml:space="preserve">que </w:t>
      </w:r>
      <w:r w:rsidR="00175D60" w:rsidRPr="004C2839">
        <w:rPr>
          <w:rFonts w:ascii="Arial" w:hAnsi="Arial" w:cs="Arial"/>
          <w:b/>
          <w:bCs/>
          <w:sz w:val="20"/>
          <w:szCs w:val="20"/>
          <w:lang w:val="es-ES_tradnl"/>
        </w:rPr>
        <w:t>no existe en el territorio de Misiones manifestación de riqueza que permita gravar con el impuesto de sellos a los contratos y existe contradicción con el régimen de coparticipación federal de impuestos</w:t>
      </w:r>
      <w:r w:rsidR="00175D60" w:rsidRPr="004C2839">
        <w:rPr>
          <w:rFonts w:ascii="Arial" w:hAnsi="Arial" w:cs="Arial"/>
          <w:sz w:val="20"/>
          <w:szCs w:val="20"/>
          <w:lang w:val="es-ES_tradnl"/>
        </w:rPr>
        <w:t>.</w:t>
      </w:r>
    </w:p>
    <w:p w14:paraId="65ABC1E9" w14:textId="77777777" w:rsidR="004C2839" w:rsidRPr="004C2839" w:rsidRDefault="004C2839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Corte Suprema de Justicia de la Nación. “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Pampa Energía S.A. c/ Tucumán, Provincia de s/acción declarativa” (24/08/2023)”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. Impuesto sobre los ingresos brutos. Citación de terceros improcedencia.</w:t>
      </w:r>
    </w:p>
    <w:p w14:paraId="093AE2B0" w14:textId="77777777" w:rsidR="004C2839" w:rsidRPr="004C2839" w:rsidRDefault="004C2839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sz w:val="20"/>
          <w:szCs w:val="20"/>
          <w:lang w:val="es-ES_tradnl"/>
        </w:rPr>
        <w:t>La actora inició en instancia originaria una acción declarativa a fin de cuestionar la pretensión fiscal de la Provincia de Tucumán, consistente en que se incluyan los ingresos obtenidos por la actora por las ventas efectuadas en el “Mercado a Término” en la base imponible del impuesto sobre los ingresos brutos correspondiente a la actividad de “Generación de energía térmica convencional”.</w:t>
      </w:r>
    </w:p>
    <w:p w14:paraId="331721A7" w14:textId="77777777" w:rsidR="004C2839" w:rsidRDefault="004C2839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sz w:val="20"/>
          <w:szCs w:val="20"/>
          <w:lang w:val="es-ES_tradnl"/>
        </w:rPr>
        <w:lastRenderedPageBreak/>
        <w:t xml:space="preserve">La CSJN declaró su competencia en tanto se debe interpretar si la pretensión fiscal 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(i)</w:t>
      </w:r>
      <w:r w:rsidRPr="004C2839">
        <w:rPr>
          <w:rFonts w:ascii="Arial" w:hAnsi="Arial" w:cs="Arial"/>
          <w:sz w:val="20"/>
          <w:szCs w:val="20"/>
          <w:lang w:val="es-ES_tradnl"/>
        </w:rPr>
        <w:t xml:space="preserve"> desnaturaliza los lineamientos del régimen federal de la energía eléctrica; 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(ii)</w:t>
      </w:r>
      <w:r w:rsidRPr="004C2839">
        <w:rPr>
          <w:rFonts w:ascii="Arial" w:hAnsi="Arial" w:cs="Arial"/>
          <w:sz w:val="20"/>
          <w:szCs w:val="20"/>
          <w:lang w:val="es-ES_tradnl"/>
        </w:rPr>
        <w:t xml:space="preserve"> si excede las potestades tributarias locales e interfiere en las atribuciones delegadas a la Nación y 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(iii)</w:t>
      </w:r>
      <w:r w:rsidRPr="004C2839">
        <w:rPr>
          <w:rFonts w:ascii="Arial" w:hAnsi="Arial" w:cs="Arial"/>
          <w:sz w:val="20"/>
          <w:szCs w:val="20"/>
          <w:lang w:val="es-ES_tradnl"/>
        </w:rPr>
        <w:t xml:space="preserve"> si el gravamen restringe o dificulta la libre producción y circulación de la energía, en los términos establecidos por las leyes federales 15.336 y 24.065, toda vez que la autoridad federal decidió no incluir el impuesto sobre los ingresos brutos dentro de los conceptos que forman parte de su precio.</w:t>
      </w:r>
    </w:p>
    <w:p w14:paraId="35532AD8" w14:textId="1049AB1D" w:rsidR="004C2839" w:rsidRDefault="004C2839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t>En consecuencia, se resuelve declarar que la causa corresponde a la competencia originaria de la CSJN y desestimar el pedido de citación de terceros (Secretaría de Energía).</w:t>
      </w:r>
    </w:p>
    <w:p w14:paraId="6FED699B" w14:textId="475F1EFB" w:rsidR="00175D60" w:rsidRPr="004C2839" w:rsidRDefault="004E553B" w:rsidP="00B423BE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Corte Suprema de Justicia de la Nación. 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“</w:t>
      </w:r>
      <w:proofErr w:type="spellStart"/>
      <w:r w:rsidR="00175D60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Sodecar</w:t>
      </w:r>
      <w:proofErr w:type="spellEnd"/>
      <w:r w:rsidR="00175D60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 xml:space="preserve"> S.A. c/ Corrientes, Provincia de s/ acción declarativa de inconstitucionalidad”,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 xml:space="preserve"> (2</w:t>
      </w:r>
      <w:r w:rsidR="00175D60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9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/0</w:t>
      </w:r>
      <w:r w:rsidR="00175D60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8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/2023)”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.</w:t>
      </w:r>
      <w:r w:rsid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 </w:t>
      </w:r>
      <w:r w:rsidR="004C2839" w:rsidRPr="004C2839">
        <w:rPr>
          <w:rFonts w:ascii="Arial" w:hAnsi="Arial" w:cs="Arial"/>
          <w:sz w:val="20"/>
          <w:szCs w:val="20"/>
          <w:lang w:val="es-ES_tradnl"/>
        </w:rPr>
        <w:t>Impuesto sobre los Ingresos Brutos. Alícuota</w:t>
      </w:r>
      <w:r w:rsidR="00B423BE">
        <w:rPr>
          <w:rFonts w:ascii="Arial" w:hAnsi="Arial" w:cs="Arial"/>
          <w:sz w:val="20"/>
          <w:szCs w:val="20"/>
          <w:lang w:val="es-ES_tradnl"/>
        </w:rPr>
        <w:t>s</w:t>
      </w:r>
      <w:r w:rsidR="004C2839" w:rsidRPr="004C2839">
        <w:rPr>
          <w:rFonts w:ascii="Arial" w:hAnsi="Arial" w:cs="Arial"/>
          <w:sz w:val="20"/>
          <w:szCs w:val="20"/>
          <w:lang w:val="es-ES_tradnl"/>
        </w:rPr>
        <w:t xml:space="preserve"> Diferenciales (clásico).</w:t>
      </w:r>
    </w:p>
    <w:p w14:paraId="4715B4FB" w14:textId="74965C48" w:rsidR="004C2839" w:rsidRPr="004C2839" w:rsidRDefault="004E553B" w:rsidP="00B423BE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 </w:t>
      </w:r>
      <w:r w:rsidR="00175D60"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Corte Suprema de Justicia de la Nación. </w:t>
      </w:r>
      <w:r w:rsidR="00175D60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“Eco de los Andes S.A. c/ Córdoba, Provincia de s/ acción declarativa de certeza”, (29/08/2023)”</w:t>
      </w:r>
      <w:r w:rsidR="00175D60" w:rsidRPr="004C2839">
        <w:rPr>
          <w:rFonts w:ascii="Arial" w:hAnsi="Arial" w:cs="Arial"/>
          <w:b/>
          <w:bCs/>
          <w:sz w:val="20"/>
          <w:szCs w:val="20"/>
          <w:lang w:val="es-ES_tradnl"/>
        </w:rPr>
        <w:t>.</w:t>
      </w:r>
      <w:r w:rsid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 </w:t>
      </w:r>
      <w:r w:rsidR="004C2839" w:rsidRPr="004C2839">
        <w:rPr>
          <w:rFonts w:ascii="Arial" w:hAnsi="Arial" w:cs="Arial"/>
          <w:sz w:val="20"/>
          <w:szCs w:val="20"/>
          <w:lang w:val="es-ES_tradnl"/>
        </w:rPr>
        <w:t>Impuesto sobre los Ingresos Brutos. Alícuota</w:t>
      </w:r>
      <w:r w:rsidR="00B423BE">
        <w:rPr>
          <w:rFonts w:ascii="Arial" w:hAnsi="Arial" w:cs="Arial"/>
          <w:sz w:val="20"/>
          <w:szCs w:val="20"/>
          <w:lang w:val="es-ES_tradnl"/>
        </w:rPr>
        <w:t>s</w:t>
      </w:r>
      <w:r w:rsidR="004C2839" w:rsidRPr="004C2839">
        <w:rPr>
          <w:rFonts w:ascii="Arial" w:hAnsi="Arial" w:cs="Arial"/>
          <w:sz w:val="20"/>
          <w:szCs w:val="20"/>
          <w:lang w:val="es-ES_tradnl"/>
        </w:rPr>
        <w:t xml:space="preserve"> Diferenciales (clásico).</w:t>
      </w:r>
    </w:p>
    <w:p w14:paraId="43A3590B" w14:textId="7CFC42AA" w:rsidR="00CC2DDB" w:rsidRPr="00B423BE" w:rsidRDefault="00175D60" w:rsidP="00B423BE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sz w:val="20"/>
          <w:szCs w:val="20"/>
          <w:lang w:val="es-ES_tradnl"/>
        </w:rPr>
      </w:pPr>
      <w:r w:rsidRPr="00B423BE">
        <w:rPr>
          <w:rFonts w:ascii="Arial" w:hAnsi="Arial" w:cs="Arial"/>
          <w:b/>
          <w:bCs/>
          <w:sz w:val="20"/>
          <w:szCs w:val="20"/>
          <w:lang w:val="es-ES_tradnl"/>
        </w:rPr>
        <w:t>Corte Suprema de Justicia de la Nación. “</w:t>
      </w:r>
      <w:r w:rsidRPr="00B423BE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Mastellone San Luis S.A c/ Salta, Provincia de s/ acción declarativa de inconstitucionalidad” (29/08/2023)”</w:t>
      </w:r>
      <w:r w:rsidRPr="00B423BE">
        <w:rPr>
          <w:rFonts w:ascii="Arial" w:hAnsi="Arial" w:cs="Arial"/>
          <w:b/>
          <w:bCs/>
          <w:sz w:val="20"/>
          <w:szCs w:val="20"/>
          <w:lang w:val="es-ES_tradnl"/>
        </w:rPr>
        <w:t>.</w:t>
      </w:r>
      <w:r w:rsidR="004C2839" w:rsidRPr="00B423BE">
        <w:rPr>
          <w:rFonts w:ascii="Arial" w:hAnsi="Arial" w:cs="Arial"/>
          <w:b/>
          <w:bCs/>
          <w:sz w:val="20"/>
          <w:szCs w:val="20"/>
          <w:lang w:val="es-ES_tradnl"/>
        </w:rPr>
        <w:t xml:space="preserve"> </w:t>
      </w:r>
      <w:r w:rsidR="004C2839" w:rsidRPr="00B423BE">
        <w:rPr>
          <w:rFonts w:ascii="Arial" w:hAnsi="Arial" w:cs="Arial"/>
          <w:sz w:val="20"/>
          <w:szCs w:val="20"/>
          <w:lang w:val="es-ES_tradnl"/>
        </w:rPr>
        <w:t>Impuesto sobre los Ingresos Brutos. Alícuota</w:t>
      </w:r>
      <w:r w:rsidR="00B423BE">
        <w:rPr>
          <w:rFonts w:ascii="Arial" w:hAnsi="Arial" w:cs="Arial"/>
          <w:sz w:val="20"/>
          <w:szCs w:val="20"/>
          <w:lang w:val="es-ES_tradnl"/>
        </w:rPr>
        <w:t>s</w:t>
      </w:r>
      <w:r w:rsidR="004C2839" w:rsidRPr="00B423BE">
        <w:rPr>
          <w:rFonts w:ascii="Arial" w:hAnsi="Arial" w:cs="Arial"/>
          <w:sz w:val="20"/>
          <w:szCs w:val="20"/>
          <w:lang w:val="es-ES_tradnl"/>
        </w:rPr>
        <w:t xml:space="preserve"> Diferenciales (clásico).</w:t>
      </w:r>
    </w:p>
    <w:p w14:paraId="6C9BD788" w14:textId="77777777" w:rsidR="003A7D43" w:rsidRPr="004C2839" w:rsidRDefault="000C53BE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Corte Suprema de Justicia de la Provincia de Salta. </w:t>
      </w:r>
      <w:r w:rsidRPr="00B423BE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 xml:space="preserve">“YUHMAK S.A. VS. MUNICIPALIDAD DE SAN RAMON DE LA NUEVA ORAN - COMPETENCIA </w:t>
      </w:r>
      <w:r w:rsidR="003A7D43" w:rsidRPr="00B423BE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(</w:t>
      </w:r>
      <w:r w:rsidRPr="00B423BE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01</w:t>
      </w:r>
      <w:r w:rsidR="003A7D43" w:rsidRPr="00B423BE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/0</w:t>
      </w:r>
      <w:r w:rsidRPr="00B423BE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9</w:t>
      </w:r>
      <w:r w:rsidR="003A7D43" w:rsidRPr="00B423BE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/2023)”</w:t>
      </w:r>
      <w:r w:rsidR="003A7D43"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. 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Pago a cuenta de tasa municipal. Otorgamiento de medida cautelar</w:t>
      </w:r>
      <w:r w:rsidR="003A7D43" w:rsidRPr="004C2839">
        <w:rPr>
          <w:rFonts w:ascii="Arial" w:hAnsi="Arial" w:cs="Arial"/>
          <w:b/>
          <w:bCs/>
          <w:sz w:val="20"/>
          <w:szCs w:val="20"/>
          <w:lang w:val="es-ES_tradnl"/>
        </w:rPr>
        <w:t>.</w:t>
      </w:r>
    </w:p>
    <w:p w14:paraId="23E18AF7" w14:textId="74F424BC" w:rsidR="000C53BE" w:rsidRPr="004C2839" w:rsidRDefault="000C53BE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sz w:val="20"/>
          <w:szCs w:val="20"/>
          <w:lang w:val="es-ES_tradnl"/>
        </w:rPr>
        <w:t xml:space="preserve">La Corte Suprema de la Provincia de Salta otorgó una medida cautelar </w:t>
      </w:r>
      <w:r w:rsidR="00B423BE" w:rsidRPr="004C2839">
        <w:rPr>
          <w:rFonts w:ascii="Arial" w:hAnsi="Arial" w:cs="Arial"/>
          <w:sz w:val="20"/>
          <w:szCs w:val="20"/>
          <w:lang w:val="es-ES_tradnl"/>
        </w:rPr>
        <w:t>en relación con el</w:t>
      </w:r>
      <w:r w:rsidRPr="004C2839">
        <w:rPr>
          <w:rFonts w:ascii="Arial" w:hAnsi="Arial" w:cs="Arial"/>
          <w:sz w:val="20"/>
          <w:szCs w:val="20"/>
          <w:lang w:val="es-ES_tradnl"/>
        </w:rPr>
        <w:t xml:space="preserve"> sistema de pago anticipado a cuenta de la contribución que incida sobre la actividad comercial, industrial y de servicio sobre la comercialización de productos a la jurisdicción del citado municipio.</w:t>
      </w:r>
      <w:r w:rsidR="00B423BE">
        <w:rPr>
          <w:rFonts w:ascii="Arial" w:hAnsi="Arial" w:cs="Arial"/>
          <w:sz w:val="20"/>
          <w:szCs w:val="20"/>
          <w:lang w:val="es-ES_tradnl"/>
        </w:rPr>
        <w:t xml:space="preserve"> </w:t>
      </w:r>
      <w:r w:rsidRPr="004C2839">
        <w:rPr>
          <w:rFonts w:ascii="Arial" w:hAnsi="Arial" w:cs="Arial"/>
          <w:sz w:val="20"/>
          <w:szCs w:val="20"/>
          <w:lang w:val="es-ES_tradnl"/>
        </w:rPr>
        <w:t xml:space="preserve">El pago anticipado condiciona el ingreso de mercaderías provenientes de extraña jurisdicción al </w:t>
      </w:r>
      <w:r w:rsidRPr="00B423BE">
        <w:rPr>
          <w:rFonts w:ascii="Arial" w:hAnsi="Arial" w:cs="Arial"/>
          <w:b/>
          <w:bCs/>
          <w:sz w:val="20"/>
          <w:szCs w:val="20"/>
          <w:lang w:val="es-ES_tradnl"/>
        </w:rPr>
        <w:t>pago a cuenta del anticipo de la contribución que incida sobre la actividad comercial, industrial y de servicio</w:t>
      </w:r>
      <w:r w:rsidRPr="004C2839">
        <w:rPr>
          <w:rFonts w:ascii="Arial" w:hAnsi="Arial" w:cs="Arial"/>
          <w:sz w:val="20"/>
          <w:szCs w:val="20"/>
          <w:lang w:val="es-ES_tradnl"/>
        </w:rPr>
        <w:t xml:space="preserve"> sobre la comercialización de productos en la jurisdicción del citado municipio.</w:t>
      </w:r>
    </w:p>
    <w:p w14:paraId="1E9CDB15" w14:textId="77777777" w:rsidR="000C53BE" w:rsidRPr="004C2839" w:rsidRDefault="000C53BE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sz w:val="20"/>
          <w:szCs w:val="20"/>
          <w:lang w:val="es-ES_tradnl"/>
        </w:rPr>
        <w:t>Violación a los derechos de “entrar, permanecer, transitar y salir de la Provincia, llevando sus bienes”, “libertad de trabajo” y “ejercicio de cualquier actividad económica o profesional” (conf. arts. 27 y 28 de la Constitución Provincial).</w:t>
      </w:r>
    </w:p>
    <w:p w14:paraId="028D74B2" w14:textId="77777777" w:rsidR="000C53BE" w:rsidRPr="004C2839" w:rsidRDefault="000C53BE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07C28FC2" w14:textId="77777777" w:rsidR="00EB75DD" w:rsidRPr="004C2839" w:rsidRDefault="000C53BE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lastRenderedPageBreak/>
        <w:t>Cámara de Apelaciones en lo Contencioso Administrativo de San Martin</w:t>
      </w:r>
      <w:r w:rsidR="00EB75DD"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. 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 xml:space="preserve">“La Arboleda Sociedad Anónima, Agrícola Y Ganadera C/ Municipalidad De Carlos Casares S/ Pretensión Declarativa De Certeza” </w:t>
      </w:r>
      <w:r w:rsidR="00EB75DD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(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31/07/</w:t>
      </w:r>
      <w:r w:rsidR="00EB75DD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2023)”</w:t>
      </w:r>
      <w:r w:rsidR="00EB75DD"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. 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Tasa de mantenimiento de red vial. Ausencia de prestación de servicios</w:t>
      </w:r>
      <w:r w:rsidR="00EB75DD" w:rsidRPr="004C2839">
        <w:rPr>
          <w:rFonts w:ascii="Arial" w:hAnsi="Arial" w:cs="Arial"/>
          <w:b/>
          <w:bCs/>
          <w:sz w:val="20"/>
          <w:szCs w:val="20"/>
          <w:lang w:val="es-ES_tradnl"/>
        </w:rPr>
        <w:t>.</w:t>
      </w:r>
      <w:r w:rsidR="00344CA1"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 Se hace lugar a la acción declarativa.</w:t>
      </w:r>
    </w:p>
    <w:p w14:paraId="189B1530" w14:textId="47650531" w:rsidR="00344CA1" w:rsidRPr="004C2839" w:rsidRDefault="000C53BE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sz w:val="20"/>
          <w:szCs w:val="20"/>
          <w:lang w:val="es-ES_tradnl"/>
        </w:rPr>
        <w:t>Improcedencia del cobro de</w:t>
      </w:r>
      <w:r w:rsidR="00344CA1" w:rsidRPr="004C2839">
        <w:rPr>
          <w:rFonts w:ascii="Arial" w:hAnsi="Arial" w:cs="Arial"/>
          <w:sz w:val="20"/>
          <w:szCs w:val="20"/>
          <w:lang w:val="es-ES_tradnl"/>
        </w:rPr>
        <w:t xml:space="preserve">l tributo: </w:t>
      </w:r>
      <w:r w:rsidRPr="00B423BE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a)</w:t>
      </w:r>
      <w:r w:rsidRPr="004C2839">
        <w:rPr>
          <w:rFonts w:ascii="Arial" w:hAnsi="Arial" w:cs="Arial"/>
          <w:sz w:val="20"/>
          <w:szCs w:val="20"/>
          <w:lang w:val="es-ES_tradnl"/>
        </w:rPr>
        <w:t xml:space="preserve"> que la desnaturalización jurídica del concepto “tasa” puede darse ante la inexistencia de la organización y/o prestación del servicio, o cuando la gabela esté destinada a cubrir servicios generales; </w:t>
      </w:r>
      <w:r w:rsidRPr="00B423BE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 xml:space="preserve">b) </w:t>
      </w:r>
      <w:r w:rsidRPr="004C2839">
        <w:rPr>
          <w:rFonts w:ascii="Arial" w:hAnsi="Arial" w:cs="Arial"/>
          <w:sz w:val="20"/>
          <w:szCs w:val="20"/>
          <w:lang w:val="es-ES_tradnl"/>
        </w:rPr>
        <w:t xml:space="preserve">que frente a la alegación del contribuyente sobre la inexistencia del servicio, recae sobre la comuna prestadora la obligación de acreditar su efectiva prestación; </w:t>
      </w:r>
      <w:r w:rsidRPr="00B423BE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c)</w:t>
      </w:r>
      <w:r w:rsidRPr="004C2839">
        <w:rPr>
          <w:rFonts w:ascii="Arial" w:hAnsi="Arial" w:cs="Arial"/>
          <w:sz w:val="20"/>
          <w:szCs w:val="20"/>
          <w:lang w:val="es-ES_tradnl"/>
        </w:rPr>
        <w:t xml:space="preserve"> que si bien se ha acreditado que el municipio tenía organizada una estructura y maquinaria destinada a brindar el servicio de mantenimiento de la red vial, ello no legitimaba </w:t>
      </w:r>
      <w:r w:rsidR="00B423BE">
        <w:rPr>
          <w:rFonts w:ascii="Arial" w:hAnsi="Arial" w:cs="Arial"/>
          <w:sz w:val="20"/>
          <w:szCs w:val="20"/>
          <w:lang w:val="es-ES_tradnl"/>
        </w:rPr>
        <w:t>´</w:t>
      </w:r>
      <w:r w:rsidRPr="004C2839">
        <w:rPr>
          <w:rFonts w:ascii="Arial" w:hAnsi="Arial" w:cs="Arial"/>
          <w:sz w:val="20"/>
          <w:szCs w:val="20"/>
          <w:lang w:val="es-ES_tradnl"/>
        </w:rPr>
        <w:t>per se’ el cobro del tributo y debía demostrarse una efectiva prestación del servicio al contribuyente que atendiera a estándares de razonabilidad y garantizara la normal circulación por los caminos rurales al sujeto pasivo del tributo</w:t>
      </w:r>
      <w:r w:rsidR="00344CA1" w:rsidRPr="004C2839">
        <w:rPr>
          <w:rFonts w:ascii="Arial" w:hAnsi="Arial" w:cs="Arial"/>
          <w:sz w:val="20"/>
          <w:szCs w:val="20"/>
          <w:lang w:val="es-ES_tradnl"/>
        </w:rPr>
        <w:t>.</w:t>
      </w:r>
    </w:p>
    <w:p w14:paraId="10889C05" w14:textId="77777777" w:rsidR="00C7691C" w:rsidRPr="004C2839" w:rsidRDefault="008F3212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Cámara de Apelaciones en lo Contencioso Administrativo de San Nicolás. 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“</w:t>
      </w:r>
      <w:proofErr w:type="spellStart"/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Frigales</w:t>
      </w:r>
      <w:proofErr w:type="spellEnd"/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 xml:space="preserve"> SRL y otro c/ ARBA - TFA s/ Pretensión Anulatoria - otros juicios” (01/08/2023)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. Pretensión destinada a que se tenga por presentado en término el recurso de apelación ante el Tribunal Fiscal de Apelaciones. Se hace lugar a la demanda.</w:t>
      </w:r>
    </w:p>
    <w:p w14:paraId="2A9D7959" w14:textId="09850424" w:rsidR="00115ECD" w:rsidRPr="004C2839" w:rsidRDefault="005D6844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sz w:val="20"/>
          <w:szCs w:val="20"/>
          <w:lang w:val="es-ES_tradnl"/>
        </w:rPr>
        <w:t xml:space="preserve">Suspensión de plazos. Pandemia. Notificación al domicilio electrónico. Principio </w:t>
      </w:r>
      <w:proofErr w:type="spellStart"/>
      <w:r w:rsidRPr="00B423BE">
        <w:rPr>
          <w:rFonts w:ascii="Arial" w:hAnsi="Arial" w:cs="Arial"/>
          <w:i/>
          <w:iCs/>
          <w:sz w:val="20"/>
          <w:szCs w:val="20"/>
          <w:lang w:val="es-ES_tradnl"/>
        </w:rPr>
        <w:t>indubio</w:t>
      </w:r>
      <w:proofErr w:type="spellEnd"/>
      <w:r w:rsidRPr="00B423BE">
        <w:rPr>
          <w:rFonts w:ascii="Arial" w:hAnsi="Arial" w:cs="Arial"/>
          <w:i/>
          <w:iCs/>
          <w:sz w:val="20"/>
          <w:szCs w:val="20"/>
          <w:lang w:val="es-ES_tradnl"/>
        </w:rPr>
        <w:t xml:space="preserve"> pro </w:t>
      </w:r>
      <w:proofErr w:type="spellStart"/>
      <w:r w:rsidRPr="00B423BE">
        <w:rPr>
          <w:rFonts w:ascii="Arial" w:hAnsi="Arial" w:cs="Arial"/>
          <w:i/>
          <w:iCs/>
          <w:sz w:val="20"/>
          <w:szCs w:val="20"/>
          <w:lang w:val="es-ES_tradnl"/>
        </w:rPr>
        <w:t>actione</w:t>
      </w:r>
      <w:proofErr w:type="spellEnd"/>
      <w:r w:rsidRPr="004C2839">
        <w:rPr>
          <w:rFonts w:ascii="Arial" w:hAnsi="Arial" w:cs="Arial"/>
          <w:sz w:val="20"/>
          <w:szCs w:val="20"/>
          <w:lang w:val="es-ES_tradnl"/>
        </w:rPr>
        <w:t>.</w:t>
      </w:r>
    </w:p>
    <w:p w14:paraId="764514FC" w14:textId="77777777" w:rsidR="005D6844" w:rsidRPr="004C2839" w:rsidRDefault="005D6844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Juzgado </w:t>
      </w:r>
      <w:r w:rsidR="0068613F" w:rsidRPr="004C2839">
        <w:rPr>
          <w:rFonts w:ascii="Arial" w:hAnsi="Arial" w:cs="Arial"/>
          <w:b/>
          <w:bCs/>
          <w:sz w:val="20"/>
          <w:szCs w:val="20"/>
          <w:lang w:val="es-ES_tradnl"/>
        </w:rPr>
        <w:t>d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e 1ra Instancia </w:t>
      </w:r>
      <w:r w:rsidR="0068613F" w:rsidRPr="004C2839">
        <w:rPr>
          <w:rFonts w:ascii="Arial" w:hAnsi="Arial" w:cs="Arial"/>
          <w:b/>
          <w:bCs/>
          <w:sz w:val="20"/>
          <w:szCs w:val="20"/>
          <w:lang w:val="es-ES_tradnl"/>
        </w:rPr>
        <w:t>en lo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 Contencioso Administrativo </w:t>
      </w:r>
      <w:r w:rsidR="0068613F" w:rsidRPr="004C2839">
        <w:rPr>
          <w:rFonts w:ascii="Arial" w:hAnsi="Arial" w:cs="Arial"/>
          <w:b/>
          <w:bCs/>
          <w:sz w:val="20"/>
          <w:szCs w:val="20"/>
          <w:lang w:val="es-ES_tradnl"/>
        </w:rPr>
        <w:t>y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 Tributario Nº 12</w:t>
      </w:r>
      <w:r w:rsidR="0068613F" w:rsidRPr="004C2839">
        <w:rPr>
          <w:rFonts w:ascii="Arial" w:hAnsi="Arial" w:cs="Arial"/>
          <w:b/>
          <w:bCs/>
          <w:sz w:val="20"/>
          <w:szCs w:val="20"/>
          <w:lang w:val="es-ES_tradnl"/>
        </w:rPr>
        <w:t>,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 </w:t>
      </w:r>
      <w:r w:rsidR="0068613F" w:rsidRPr="004C2839">
        <w:rPr>
          <w:rFonts w:ascii="Arial" w:hAnsi="Arial" w:cs="Arial"/>
          <w:b/>
          <w:bCs/>
          <w:sz w:val="20"/>
          <w:szCs w:val="20"/>
          <w:lang w:val="es-ES_tradnl"/>
        </w:rPr>
        <w:t>Secretaría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 N°24. 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“</w:t>
      </w:r>
      <w:r w:rsidR="0068613F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BGH sociedad anónima contra GCBA sobre Acción Meramente Declarativa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” (01/0</w:t>
      </w:r>
      <w:r w:rsidR="0068613F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9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/2023)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. </w:t>
      </w:r>
      <w:r w:rsidR="0068613F" w:rsidRPr="004C2839">
        <w:rPr>
          <w:rFonts w:ascii="Arial" w:hAnsi="Arial" w:cs="Arial"/>
          <w:b/>
          <w:bCs/>
          <w:sz w:val="20"/>
          <w:szCs w:val="20"/>
          <w:lang w:val="es-ES_tradnl"/>
        </w:rPr>
        <w:t>Impuesto de sellos. Gravabilidad de las órdenes de compra. Se rechaza la pretensión fiscal. Procedencia de la intimación sin sustanciar el procedimiento determinativo.</w:t>
      </w:r>
    </w:p>
    <w:p w14:paraId="4AFAE00A" w14:textId="66991DB3" w:rsidR="0068613F" w:rsidRPr="004C2839" w:rsidRDefault="0068613F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sz w:val="20"/>
          <w:szCs w:val="20"/>
          <w:lang w:val="es-ES_tradnl"/>
        </w:rPr>
        <w:t xml:space="preserve">La sentencia </w:t>
      </w:r>
      <w:r w:rsidR="00B423BE">
        <w:rPr>
          <w:rFonts w:ascii="Arial" w:hAnsi="Arial" w:cs="Arial"/>
          <w:sz w:val="20"/>
          <w:szCs w:val="20"/>
          <w:lang w:val="es-ES_tradnl"/>
        </w:rPr>
        <w:t>ratifica, en primer lugar,</w:t>
      </w:r>
      <w:r w:rsidRPr="004C2839">
        <w:rPr>
          <w:rFonts w:ascii="Arial" w:hAnsi="Arial" w:cs="Arial"/>
          <w:sz w:val="20"/>
          <w:szCs w:val="20"/>
          <w:lang w:val="es-ES_tradnl"/>
        </w:rPr>
        <w:t xml:space="preserve"> la constitucionalidad de la posibilidad de emitir el título ejecutivo previa intimación administrativa del impuesto de sellos sin sustanciar el procedimiento determinativo</w:t>
      </w:r>
      <w:r w:rsidR="00B423BE">
        <w:rPr>
          <w:rFonts w:ascii="Arial" w:hAnsi="Arial" w:cs="Arial"/>
          <w:sz w:val="20"/>
          <w:szCs w:val="20"/>
          <w:lang w:val="es-ES_tradnl"/>
        </w:rPr>
        <w:t>, sustentando tal posición en que no se probó que se haya afectado el derecho de defensa del contribuyente, dado que a lo largo del proceso de fiscalización el contribuyente pudo aportar distintas pruebas y elementos sobre el caso</w:t>
      </w:r>
      <w:r w:rsidRPr="004C2839">
        <w:rPr>
          <w:rFonts w:ascii="Arial" w:hAnsi="Arial" w:cs="Arial"/>
          <w:sz w:val="20"/>
          <w:szCs w:val="20"/>
          <w:lang w:val="es-ES_tradnl"/>
        </w:rPr>
        <w:t>.</w:t>
      </w:r>
      <w:r w:rsidR="00B423BE">
        <w:rPr>
          <w:rFonts w:ascii="Arial" w:hAnsi="Arial" w:cs="Arial"/>
          <w:sz w:val="20"/>
          <w:szCs w:val="20"/>
          <w:lang w:val="es-ES_tradnl"/>
        </w:rPr>
        <w:t xml:space="preserve"> Por otra parte, </w:t>
      </w:r>
      <w:r w:rsidR="00B423BE" w:rsidRPr="00B423BE">
        <w:rPr>
          <w:rFonts w:ascii="Arial" w:hAnsi="Arial" w:cs="Arial"/>
          <w:b/>
          <w:bCs/>
          <w:sz w:val="20"/>
          <w:szCs w:val="20"/>
          <w:lang w:val="es-ES_tradnl"/>
        </w:rPr>
        <w:t xml:space="preserve">basándose en la Ley de Coparticipación Federal de Impuestos y en el propio Código Tributario Local se resuelve que las </w:t>
      </w:r>
      <w:r w:rsidRPr="00B423BE">
        <w:rPr>
          <w:rFonts w:ascii="Arial" w:hAnsi="Arial" w:cs="Arial"/>
          <w:b/>
          <w:bCs/>
          <w:sz w:val="20"/>
          <w:szCs w:val="20"/>
          <w:lang w:val="es-ES_tradnl"/>
        </w:rPr>
        <w:t>órdenes de compra no revisten la debida autosuficiencia a los efectos de cumplir con los recaudos establecidos por la ley federal de coparticipación y el código fiscal local, por tanto no deben ser alcanzados por el impuesto de sellos</w:t>
      </w:r>
      <w:r w:rsidRPr="004C2839">
        <w:rPr>
          <w:rFonts w:ascii="Arial" w:hAnsi="Arial" w:cs="Arial"/>
          <w:sz w:val="20"/>
          <w:szCs w:val="20"/>
          <w:lang w:val="es-ES_tradnl"/>
        </w:rPr>
        <w:t>.</w:t>
      </w:r>
    </w:p>
    <w:p w14:paraId="1571A9AA" w14:textId="77777777" w:rsidR="0068613F" w:rsidRPr="004C2839" w:rsidRDefault="0068613F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4486A3EB" w14:textId="77777777" w:rsidR="0068613F" w:rsidRPr="004C2839" w:rsidRDefault="0068613F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Juzgado de Paz de Gualeguay. 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“Administradora Tributaria de la Provincia de Entre Ríos c/ Terraza Marcelo Daniel s/Monitorio Apremio.” (01/09/2023)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. Impuesto automotor. Excepción de falta de legitimación activa. Se hace lugar a la defensa.</w:t>
      </w:r>
    </w:p>
    <w:p w14:paraId="30DAE6B3" w14:textId="054DB972" w:rsidR="00783D3B" w:rsidRPr="004C2839" w:rsidRDefault="0068613F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sz w:val="20"/>
          <w:szCs w:val="20"/>
          <w:lang w:val="es-ES_tradnl"/>
        </w:rPr>
        <w:t>El Juzgado hizo lugar a la defensa de falta de legitimación activa opuesta en un apremio</w:t>
      </w:r>
      <w:r w:rsidR="001227CB" w:rsidRPr="004C2839">
        <w:rPr>
          <w:rFonts w:ascii="Arial" w:hAnsi="Arial" w:cs="Arial"/>
          <w:sz w:val="20"/>
          <w:szCs w:val="20"/>
          <w:lang w:val="es-ES_tradnl"/>
        </w:rPr>
        <w:t xml:space="preserve"> donde el Fisco pretendía exigir coactivamente el impuesto automotor.</w:t>
      </w:r>
      <w:r w:rsidR="00B423BE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1227CB" w:rsidRPr="004C2839">
        <w:rPr>
          <w:rFonts w:ascii="Arial" w:hAnsi="Arial" w:cs="Arial"/>
          <w:sz w:val="20"/>
          <w:szCs w:val="20"/>
          <w:lang w:val="es-ES_tradnl"/>
        </w:rPr>
        <w:t>Falta de sustento territorial. Baja por cambio de radicación. Improcedencia de la exigencia tributaria.</w:t>
      </w:r>
    </w:p>
    <w:p w14:paraId="58D140B6" w14:textId="77777777" w:rsidR="00783D3B" w:rsidRPr="004C2839" w:rsidRDefault="00783D3B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Tribunal Fiscal de Apelaciones de la Provincia de Buenos Aires. 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 xml:space="preserve">“Servicios </w:t>
      </w:r>
      <w:proofErr w:type="spellStart"/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Compass</w:t>
      </w:r>
      <w:proofErr w:type="spellEnd"/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 xml:space="preserve"> De Argentina S.A.” (08/08/2023)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. Agente de recaudación del impuesto sobre los Ingresos Brutos. Nulidad por falta de motivación. Se hace lugar a la defensa.</w:t>
      </w:r>
    </w:p>
    <w:p w14:paraId="65A7EEA6" w14:textId="5BE6EF82" w:rsidR="00EB767C" w:rsidRPr="004C2839" w:rsidRDefault="00783D3B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sz w:val="20"/>
          <w:szCs w:val="20"/>
          <w:lang w:val="es-ES_tradnl"/>
        </w:rPr>
        <w:t>Se hace lugar a la nulidad planteada ante la “</w:t>
      </w:r>
      <w:r w:rsidRPr="004C2839">
        <w:rPr>
          <w:rFonts w:ascii="Arial" w:hAnsi="Arial" w:cs="Arial"/>
          <w:i/>
          <w:sz w:val="20"/>
          <w:szCs w:val="20"/>
          <w:lang w:val="es-ES_tradnl"/>
        </w:rPr>
        <w:t xml:space="preserve">falta de congruencia de los importes de las percepciones omitidas quincena a quincena del año 2013 consignados en el papel de trabajo obrante en soporte magnético de fs. 241, con aquellas liquidadas en el formulario R-341 de fs. 1127 </w:t>
      </w:r>
      <w:proofErr w:type="spellStart"/>
      <w:r w:rsidRPr="004C2839">
        <w:rPr>
          <w:rFonts w:ascii="Arial" w:hAnsi="Arial" w:cs="Arial"/>
          <w:i/>
          <w:sz w:val="20"/>
          <w:szCs w:val="20"/>
          <w:lang w:val="es-ES_tradnl"/>
        </w:rPr>
        <w:t>vta</w:t>
      </w:r>
      <w:proofErr w:type="spellEnd"/>
      <w:r w:rsidRPr="004C2839">
        <w:rPr>
          <w:rFonts w:ascii="Arial" w:hAnsi="Arial" w:cs="Arial"/>
          <w:i/>
          <w:sz w:val="20"/>
          <w:szCs w:val="20"/>
          <w:lang w:val="es-ES_tradnl"/>
        </w:rPr>
        <w:t>/1137, que forma parte integrante del acto en crisis, trayendo como resultado notorias diferencias de las cuales la Administración -desde el inicio de la fiscalización- no emite justificación alguna, error que decididamente no admite displicencia”.</w:t>
      </w:r>
      <w:r w:rsidR="00B423BE">
        <w:rPr>
          <w:rFonts w:ascii="Arial" w:hAnsi="Arial" w:cs="Arial"/>
          <w:i/>
          <w:sz w:val="20"/>
          <w:szCs w:val="20"/>
          <w:lang w:val="es-ES_tradnl"/>
        </w:rPr>
        <w:t xml:space="preserve"> </w:t>
      </w:r>
      <w:r w:rsidR="005722DF">
        <w:rPr>
          <w:rFonts w:ascii="Arial" w:hAnsi="Arial" w:cs="Arial"/>
          <w:iCs/>
          <w:sz w:val="20"/>
          <w:szCs w:val="20"/>
          <w:lang w:val="es-ES_tradnl"/>
        </w:rPr>
        <w:t xml:space="preserve">No se aplica la teoría del a subsanación (utilizada comúnmente en los tribunales administrativo. </w:t>
      </w:r>
      <w:r w:rsidR="00B423BE">
        <w:rPr>
          <w:rFonts w:ascii="Arial" w:hAnsi="Arial" w:cs="Arial"/>
          <w:iCs/>
          <w:sz w:val="20"/>
          <w:szCs w:val="20"/>
          <w:lang w:val="es-ES_tradnl"/>
        </w:rPr>
        <w:t xml:space="preserve">En consecuencia, admitido el planteo de nulidad </w:t>
      </w:r>
      <w:r w:rsidR="005722DF">
        <w:rPr>
          <w:rFonts w:ascii="Arial" w:hAnsi="Arial" w:cs="Arial"/>
          <w:iCs/>
          <w:sz w:val="20"/>
          <w:szCs w:val="20"/>
          <w:lang w:val="es-ES_tradnl"/>
        </w:rPr>
        <w:t>opuesto</w:t>
      </w:r>
      <w:r w:rsidR="00B423BE">
        <w:rPr>
          <w:rFonts w:ascii="Arial" w:hAnsi="Arial" w:cs="Arial"/>
          <w:iCs/>
          <w:sz w:val="20"/>
          <w:szCs w:val="20"/>
          <w:lang w:val="es-ES_tradnl"/>
        </w:rPr>
        <w:t xml:space="preserve"> por el apelante, no se resuelve sobre la prescripción de los elementos sancionatorios que integran la determinación de oficio</w:t>
      </w:r>
      <w:r w:rsidR="005722DF">
        <w:rPr>
          <w:rFonts w:ascii="Arial" w:hAnsi="Arial" w:cs="Arial"/>
          <w:iCs/>
          <w:sz w:val="20"/>
          <w:szCs w:val="20"/>
          <w:lang w:val="es-ES_tradnl"/>
        </w:rPr>
        <w:t xml:space="preserve"> (recargo y multa).</w:t>
      </w:r>
    </w:p>
    <w:p w14:paraId="767B41D3" w14:textId="77777777" w:rsidR="00EB767C" w:rsidRPr="004C2839" w:rsidRDefault="00EB767C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Tribunal Fiscal de Apelaciones de la Provincia de Buenos Aires. 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“Cervecería y Maltería Quilmes SAICA” (01/09/2023)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. Impuesto sobre los Ingresos Brutos. Prescripción. </w:t>
      </w:r>
    </w:p>
    <w:p w14:paraId="1C9D4920" w14:textId="25DC80E6" w:rsidR="00EB767C" w:rsidRPr="004C2839" w:rsidRDefault="00EB767C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sz w:val="20"/>
          <w:szCs w:val="20"/>
          <w:lang w:val="es-ES_tradnl"/>
        </w:rPr>
        <w:t>Se hace lugar al planteo de prescripción deducido por la actora</w:t>
      </w:r>
      <w:r w:rsidR="005722DF">
        <w:rPr>
          <w:rFonts w:ascii="Arial" w:hAnsi="Arial" w:cs="Arial"/>
          <w:sz w:val="20"/>
          <w:szCs w:val="20"/>
          <w:lang w:val="es-ES_tradnl"/>
        </w:rPr>
        <w:t>, bajo el criterio definido por el propio TFAPBA (tributo anual + suspensión por constitución en mora + análisis de la aplicación del instituto de la dispensa de la prescripción ante la apelación en el propio TFAPBA).</w:t>
      </w:r>
    </w:p>
    <w:p w14:paraId="590B0440" w14:textId="77777777" w:rsidR="003C2D48" w:rsidRPr="004C2839" w:rsidRDefault="00EB767C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Tribunal Fiscal de Apelaciones de la Provincia de Buenos Aires. 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“Citibank NA” (08/08/2023)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.</w:t>
      </w:r>
      <w:r w:rsidR="003C2D48" w:rsidRPr="004C2839">
        <w:rPr>
          <w:rFonts w:ascii="Arial" w:hAnsi="Arial" w:cs="Arial"/>
          <w:b/>
          <w:bCs/>
          <w:sz w:val="20"/>
          <w:szCs w:val="20"/>
          <w:lang w:val="es-ES_tradnl"/>
        </w:rPr>
        <w:t xml:space="preserve"> Impuesto sobre los Ingresos Brutos. Prescripción. </w:t>
      </w:r>
    </w:p>
    <w:p w14:paraId="4F74CB12" w14:textId="3DA54B7A" w:rsidR="001227CB" w:rsidRPr="004C2839" w:rsidRDefault="005722DF" w:rsidP="004C2839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  <w:r w:rsidRPr="004C2839">
        <w:rPr>
          <w:rFonts w:ascii="Arial" w:hAnsi="Arial" w:cs="Arial"/>
          <w:sz w:val="20"/>
          <w:szCs w:val="20"/>
          <w:lang w:val="es-ES_tradnl"/>
        </w:rPr>
        <w:t>Se hace lugar al planteo de prescripción deducido por la actora</w:t>
      </w:r>
      <w:r>
        <w:rPr>
          <w:rFonts w:ascii="Arial" w:hAnsi="Arial" w:cs="Arial"/>
          <w:sz w:val="20"/>
          <w:szCs w:val="20"/>
          <w:lang w:val="es-ES_tradnl"/>
        </w:rPr>
        <w:t>, bajo el criterio definido por el propio TFAPBA (tributo anual + suspensión por constitución en mora + análisis de la aplicación del instituto de la dispensa de la prescripción ante la apelación en el propio TFAPBA)</w:t>
      </w:r>
      <w:r w:rsidR="003C2D48" w:rsidRPr="004C2839">
        <w:rPr>
          <w:rFonts w:ascii="Arial" w:hAnsi="Arial" w:cs="Arial"/>
          <w:sz w:val="20"/>
          <w:szCs w:val="20"/>
          <w:lang w:val="es-ES_tradnl"/>
        </w:rPr>
        <w:t>.</w:t>
      </w:r>
    </w:p>
    <w:p w14:paraId="4E9F4083" w14:textId="77777777" w:rsidR="00115ECD" w:rsidRPr="004C2839" w:rsidRDefault="00115ECD" w:rsidP="004C2839">
      <w:pPr>
        <w:snapToGrid w:val="0"/>
        <w:spacing w:after="24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u w:val="single"/>
          <w:lang w:val="es-ES_tradnl"/>
        </w:rPr>
        <w:t>RESOLUCIONES DE LOS ORGANISMOS DE APLICACIÓN DEL CONVENIO MULTILATERAL</w:t>
      </w:r>
    </w:p>
    <w:p w14:paraId="4E7ACCA9" w14:textId="77777777" w:rsidR="00115ECD" w:rsidRPr="004C2839" w:rsidRDefault="00544F1F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u w:val="single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lastRenderedPageBreak/>
        <w:t>R. (CA) 20/2023. “</w:t>
      </w:r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Litoral Gas SA s/ reserva de aplicación del Protocolo Adicional”</w:t>
      </w:r>
      <w:r w:rsidRPr="004C2839">
        <w:rPr>
          <w:rFonts w:ascii="Arial" w:hAnsi="Arial" w:cs="Arial"/>
          <w:sz w:val="20"/>
          <w:szCs w:val="20"/>
          <w:lang w:val="es-ES_tradnl"/>
        </w:rPr>
        <w:t>. La reserva de aplicación del Protocolo Adicional no se encuentra contemplada en las normas que rigen a los Organismos del Convenio Multilateral.</w:t>
      </w:r>
    </w:p>
    <w:p w14:paraId="580A5EE3" w14:textId="77777777" w:rsidR="00544F1F" w:rsidRPr="004C2839" w:rsidRDefault="00544F1F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u w:val="single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R. (CA) 2</w:t>
      </w:r>
      <w:r w:rsidR="00DE7A2E" w:rsidRPr="004C2839">
        <w:rPr>
          <w:rFonts w:ascii="Arial" w:hAnsi="Arial" w:cs="Arial"/>
          <w:b/>
          <w:bCs/>
          <w:sz w:val="20"/>
          <w:szCs w:val="20"/>
          <w:lang w:val="es-ES_tradnl"/>
        </w:rPr>
        <w:t>2</w:t>
      </w: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/2023. “</w:t>
      </w:r>
      <w:r w:rsidR="00DE7A2E" w:rsidRPr="004C2839">
        <w:rPr>
          <w:rFonts w:ascii="Arial" w:hAnsi="Arial" w:cs="Arial"/>
          <w:sz w:val="20"/>
          <w:szCs w:val="20"/>
        </w:rPr>
        <w:t>S</w:t>
      </w:r>
      <w:r w:rsidR="00DE7A2E"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 xml:space="preserve">osa Fidel Pedro c/ provincia de Buenos Aires” </w:t>
      </w:r>
      <w:r w:rsidR="00B779C8" w:rsidRPr="004C2839">
        <w:rPr>
          <w:rFonts w:ascii="Arial" w:hAnsi="Arial" w:cs="Arial"/>
          <w:bCs/>
          <w:iCs/>
          <w:sz w:val="20"/>
          <w:szCs w:val="20"/>
          <w:lang w:val="es-ES_tradnl"/>
        </w:rPr>
        <w:t>Inexistencia de caso concreto.</w:t>
      </w:r>
    </w:p>
    <w:p w14:paraId="20E70F19" w14:textId="77777777" w:rsidR="00DE7A2E" w:rsidRPr="004C2839" w:rsidRDefault="00DE7A2E" w:rsidP="004C283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u w:val="single"/>
          <w:lang w:val="es-ES_tradnl"/>
        </w:rPr>
      </w:pPr>
      <w:r w:rsidRPr="004C2839">
        <w:rPr>
          <w:rFonts w:ascii="Arial" w:hAnsi="Arial" w:cs="Arial"/>
          <w:b/>
          <w:bCs/>
          <w:sz w:val="20"/>
          <w:szCs w:val="20"/>
          <w:lang w:val="es-ES_tradnl"/>
        </w:rPr>
        <w:t>R. (CA) 23/2023. “</w:t>
      </w:r>
      <w:proofErr w:type="spellStart"/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>Dmarker</w:t>
      </w:r>
      <w:proofErr w:type="spellEnd"/>
      <w:r w:rsidRPr="004C2839">
        <w:rPr>
          <w:rFonts w:ascii="Arial" w:hAnsi="Arial" w:cs="Arial"/>
          <w:b/>
          <w:bCs/>
          <w:i/>
          <w:iCs/>
          <w:sz w:val="20"/>
          <w:szCs w:val="20"/>
          <w:lang w:val="es-ES_tradnl"/>
        </w:rPr>
        <w:t xml:space="preserve"> SA (y sus responsables solidarios) c/ provincia de Córdoba”</w:t>
      </w:r>
      <w:r w:rsidRPr="004C2839">
        <w:rPr>
          <w:rFonts w:ascii="Arial" w:hAnsi="Arial" w:cs="Arial"/>
          <w:sz w:val="20"/>
          <w:szCs w:val="20"/>
          <w:lang w:val="es-ES_tradnl"/>
        </w:rPr>
        <w:t xml:space="preserve">. El nexo territorial lo es por la vinculación con el contribuyente y no por una actividad. </w:t>
      </w:r>
      <w:r w:rsidRPr="005722DF">
        <w:rPr>
          <w:rFonts w:ascii="Arial" w:hAnsi="Arial" w:cs="Arial"/>
          <w:b/>
          <w:bCs/>
          <w:sz w:val="20"/>
          <w:szCs w:val="20"/>
          <w:lang w:val="es-ES_tradnl"/>
        </w:rPr>
        <w:t>Improcedencia de la aplicación del Protocolo Adicional por la existencia de omisión de impuesto</w:t>
      </w:r>
      <w:r w:rsidRPr="004C2839">
        <w:rPr>
          <w:rFonts w:ascii="Arial" w:hAnsi="Arial" w:cs="Arial"/>
          <w:sz w:val="20"/>
          <w:szCs w:val="20"/>
          <w:lang w:val="es-ES_tradnl"/>
        </w:rPr>
        <w:t>.</w:t>
      </w:r>
    </w:p>
    <w:p w14:paraId="5B3AE362" w14:textId="77777777" w:rsidR="00115ECD" w:rsidRPr="00AB0764" w:rsidRDefault="00115ECD" w:rsidP="00115ECD">
      <w:pPr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  <w:lang w:val="es-ES_tradnl"/>
        </w:rPr>
      </w:pPr>
    </w:p>
    <w:sectPr w:rsidR="00115ECD" w:rsidRPr="00AB0764">
      <w:footerReference w:type="even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79461" w14:textId="77777777" w:rsidR="0074288A" w:rsidRDefault="0074288A" w:rsidP="000E4011">
      <w:r>
        <w:separator/>
      </w:r>
    </w:p>
  </w:endnote>
  <w:endnote w:type="continuationSeparator" w:id="0">
    <w:p w14:paraId="4EC5FA0E" w14:textId="77777777" w:rsidR="0074288A" w:rsidRDefault="0074288A" w:rsidP="000E4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-422561818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4F879EB" w14:textId="77777777" w:rsidR="000E4011" w:rsidRDefault="000E4011" w:rsidP="006A7B86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B69F1AE" w14:textId="77777777" w:rsidR="000E4011" w:rsidRDefault="000E4011" w:rsidP="000E401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927011534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B95F53A" w14:textId="77777777" w:rsidR="000E4011" w:rsidRDefault="000E4011" w:rsidP="006A7B86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DD09A8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2EDB319" w14:textId="77777777" w:rsidR="000E4011" w:rsidRDefault="000E4011" w:rsidP="000E4011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66503" w14:textId="77777777" w:rsidR="0074288A" w:rsidRDefault="0074288A" w:rsidP="000E4011">
      <w:r>
        <w:separator/>
      </w:r>
    </w:p>
  </w:footnote>
  <w:footnote w:type="continuationSeparator" w:id="0">
    <w:p w14:paraId="21DDF01D" w14:textId="77777777" w:rsidR="0074288A" w:rsidRDefault="0074288A" w:rsidP="000E40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D3DA8"/>
    <w:multiLevelType w:val="hybridMultilevel"/>
    <w:tmpl w:val="4BFEE32A"/>
    <w:lvl w:ilvl="0" w:tplc="A2AE9FF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05DB5"/>
    <w:multiLevelType w:val="hybridMultilevel"/>
    <w:tmpl w:val="77A0B2C6"/>
    <w:lvl w:ilvl="0" w:tplc="C81C6D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244FF6"/>
    <w:multiLevelType w:val="hybridMultilevel"/>
    <w:tmpl w:val="BF8C0C16"/>
    <w:lvl w:ilvl="0" w:tplc="241A63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0E1"/>
    <w:rsid w:val="00035AF3"/>
    <w:rsid w:val="000B047D"/>
    <w:rsid w:val="000C05AB"/>
    <w:rsid w:val="000C53BE"/>
    <w:rsid w:val="000E4011"/>
    <w:rsid w:val="00115ECD"/>
    <w:rsid w:val="001227CB"/>
    <w:rsid w:val="00162D30"/>
    <w:rsid w:val="00175D60"/>
    <w:rsid w:val="001A164A"/>
    <w:rsid w:val="00210AB0"/>
    <w:rsid w:val="002C60BB"/>
    <w:rsid w:val="00341ED4"/>
    <w:rsid w:val="00344CA1"/>
    <w:rsid w:val="003A7D43"/>
    <w:rsid w:val="003C2D48"/>
    <w:rsid w:val="004040E1"/>
    <w:rsid w:val="0048583B"/>
    <w:rsid w:val="004A7649"/>
    <w:rsid w:val="004B6873"/>
    <w:rsid w:val="004C2839"/>
    <w:rsid w:val="004E553B"/>
    <w:rsid w:val="00544F1F"/>
    <w:rsid w:val="00562223"/>
    <w:rsid w:val="005722DF"/>
    <w:rsid w:val="005D6844"/>
    <w:rsid w:val="0063228A"/>
    <w:rsid w:val="00632574"/>
    <w:rsid w:val="006655BF"/>
    <w:rsid w:val="0068613F"/>
    <w:rsid w:val="006F026B"/>
    <w:rsid w:val="0071363D"/>
    <w:rsid w:val="00716E79"/>
    <w:rsid w:val="007234D4"/>
    <w:rsid w:val="0074288A"/>
    <w:rsid w:val="00783D3B"/>
    <w:rsid w:val="008A2F21"/>
    <w:rsid w:val="008F3212"/>
    <w:rsid w:val="00936466"/>
    <w:rsid w:val="00A528A6"/>
    <w:rsid w:val="00A71DAD"/>
    <w:rsid w:val="00B423BE"/>
    <w:rsid w:val="00B66C7C"/>
    <w:rsid w:val="00B779C8"/>
    <w:rsid w:val="00C2259E"/>
    <w:rsid w:val="00C46076"/>
    <w:rsid w:val="00C72F70"/>
    <w:rsid w:val="00C7691C"/>
    <w:rsid w:val="00CA0357"/>
    <w:rsid w:val="00CC2DDB"/>
    <w:rsid w:val="00CE7059"/>
    <w:rsid w:val="00DD09A8"/>
    <w:rsid w:val="00DE2CF5"/>
    <w:rsid w:val="00DE7A2E"/>
    <w:rsid w:val="00E67A45"/>
    <w:rsid w:val="00EB75DD"/>
    <w:rsid w:val="00EB767C"/>
    <w:rsid w:val="00F474B7"/>
    <w:rsid w:val="00FF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644FB"/>
  <w15:chartTrackingRefBased/>
  <w15:docId w15:val="{AAB08DB9-CBE2-FC4C-9058-FE5D604C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A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D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05A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E401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E4011"/>
  </w:style>
  <w:style w:type="paragraph" w:styleId="Piedepgina">
    <w:name w:val="footer"/>
    <w:basedOn w:val="Normal"/>
    <w:link w:val="PiedepginaCar"/>
    <w:uiPriority w:val="99"/>
    <w:unhideWhenUsed/>
    <w:rsid w:val="000E401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E4011"/>
  </w:style>
  <w:style w:type="character" w:styleId="Nmerodepgina">
    <w:name w:val="page number"/>
    <w:basedOn w:val="Fuentedeprrafopredeter"/>
    <w:uiPriority w:val="99"/>
    <w:semiHidden/>
    <w:unhideWhenUsed/>
    <w:rsid w:val="000E4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1637</Words>
  <Characters>8286</Characters>
  <Application>Microsoft Office Word</Application>
  <DocSecurity>0</DocSecurity>
  <Lines>243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Francisco Reyes</dc:creator>
  <cp:keywords/>
  <dc:description/>
  <cp:lastModifiedBy>Gustavo Grinberg</cp:lastModifiedBy>
  <cp:revision>2</cp:revision>
  <dcterms:created xsi:type="dcterms:W3CDTF">2023-09-15T13:45:00Z</dcterms:created>
  <dcterms:modified xsi:type="dcterms:W3CDTF">2023-09-15T13:45:00Z</dcterms:modified>
</cp:coreProperties>
</file>